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26128">
        <w:t>МКДОУ «Детский сад № 10 «Орленок»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информироваие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</w:t>
      </w:r>
      <w:r w:rsidR="00926128">
        <w:rPr>
          <w:sz w:val="24"/>
        </w:rPr>
        <w:t>аведующий МАДОУ «Детский сад № 10 «Орленок</w:t>
      </w:r>
      <w:r>
        <w:rPr>
          <w:sz w:val="24"/>
        </w:rPr>
        <w:t xml:space="preserve">»                                                                                                             </w:t>
      </w:r>
      <w:r w:rsidR="00926128">
        <w:rPr>
          <w:sz w:val="24"/>
        </w:rPr>
        <w:t xml:space="preserve">                       Т.Н.Таций</w:t>
      </w:r>
      <w:bookmarkStart w:id="0" w:name="_GoBack"/>
      <w:bookmarkEnd w:id="0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926128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7F54"/>
  <w15:docId w15:val="{5B903C10-FD55-4D25-923A-B8B37B6F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82CE-C8FB-473C-BC0D-152A24D1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Dasha_Petrovna@outlook.com</cp:lastModifiedBy>
  <cp:revision>5</cp:revision>
  <dcterms:created xsi:type="dcterms:W3CDTF">2023-08-04T20:56:00Z</dcterms:created>
  <dcterms:modified xsi:type="dcterms:W3CDTF">2024-01-12T11:11:00Z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